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COM22052000050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15B4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5B4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15B4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B44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</w:t>
            </w:r>
            <w:r w:rsidRPr="00C15B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1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B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15B44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1124028002295. Приоритетным направлением деятельности компании является осуществление запуска и расширение промышленного производства экологически чистого регулятора вязкости.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15B4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56 802,08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мая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«04» июня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15B4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15B44" w:rsidRPr="008C0AE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C15B44" w:rsidTr="00C15B44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C15B44" w:rsidRDefault="00C1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C15B44" w:rsidTr="00C15B44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5B44" w:rsidRDefault="00C15B4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5B44" w:rsidRDefault="00C15B4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5B44" w:rsidRDefault="00C15B44" w:rsidP="00C15B4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Панкратова Галина Николаевна </w:t>
            </w:r>
          </w:p>
        </w:tc>
      </w:tr>
      <w:tr w:rsidR="00C15B44" w:rsidTr="00C15B44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5B44" w:rsidRDefault="00C15B4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5B44" w:rsidRDefault="00C15B4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5B44" w:rsidRDefault="00C15B4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C15B44" w:rsidRPr="003C2761" w:rsidRDefault="00C15B44" w:rsidP="00C15B4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15B4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15B44"/>
    <w:rsid w:val="00C5289F"/>
    <w:rsid w:val="00CC70E4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B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2020-06-04T08:35:00Z</dcterms:modified>
</cp:coreProperties>
</file>