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COM02032000057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101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01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101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101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4710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71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0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7101C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101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128 017,58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7101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7101C" w:rsidRPr="004117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7101C" w:rsidTr="00F667A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7101C" w:rsidRDefault="0047101C" w:rsidP="00F6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7101C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47101C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101C" w:rsidRDefault="0047101C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7101C" w:rsidRPr="003C2761" w:rsidRDefault="0047101C" w:rsidP="004710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101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7101C"/>
    <w:rsid w:val="00663859"/>
    <w:rsid w:val="008316FC"/>
    <w:rsid w:val="00855AD8"/>
    <w:rsid w:val="008F5A58"/>
    <w:rsid w:val="00994EF3"/>
    <w:rsid w:val="00A677C9"/>
    <w:rsid w:val="00BE779A"/>
    <w:rsid w:val="00C5289F"/>
    <w:rsid w:val="00D36693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2020-03-17T09:44:00Z</dcterms:modified>
</cp:coreProperties>
</file>