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COM02032000060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265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D265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265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653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  <w:r w:rsidRPr="002D26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D2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65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D2653">
              <w:rPr>
                <w:rFonts w:ascii="Times New Roman" w:hAnsi="Times New Roman" w:cs="Times New Roman"/>
                <w:sz w:val="24"/>
                <w:szCs w:val="24"/>
              </w:rPr>
              <w:t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«Технологии глицерина» от 01.11.2018 года, в размере 14 500 000 (четырнадцать миллионов пятьсот тысяч)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D265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3 358 445,72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«02» марта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марта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D265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D2653" w:rsidRPr="0041173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2D2653" w:rsidTr="00F667A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2D2653" w:rsidRDefault="002D2653" w:rsidP="00F6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2D2653" w:rsidTr="00F667A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53" w:rsidRDefault="002D2653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53" w:rsidRDefault="002D2653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53" w:rsidRDefault="002D2653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2D2653" w:rsidTr="00F667A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53" w:rsidRDefault="002D2653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53" w:rsidRDefault="002D2653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D2653" w:rsidRDefault="002D2653" w:rsidP="00F667A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2D2653" w:rsidRPr="003C2761" w:rsidRDefault="002D2653" w:rsidP="002D265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D265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D2653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CF3770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26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2020-03-17T09:41:00Z</dcterms:modified>
</cp:coreProperties>
</file>