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COM21042000081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30FD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FD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30FD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0FD4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</w:t>
            </w:r>
            <w:r w:rsidRPr="00130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30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0FD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30FD4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99,976 % в уставном капитале Общества с ограниченной ответственностью «Калужский инновационный центр энергетического машиностроения», ОГРН 1124028002295. Приоритетным направлением деятельности компании является осуществление запуска и расширение промышленного производства экологически чистого регулятора вязкости.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30FD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78 618,80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апреля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мая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30FD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30FD4" w:rsidRPr="003918E5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130FD4" w:rsidTr="00130FD4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130FD4" w:rsidRDefault="00130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130FD4" w:rsidTr="00130FD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Хмельницкая Елена Валерьевна</w:t>
            </w:r>
          </w:p>
        </w:tc>
      </w:tr>
      <w:tr w:rsidR="00130FD4" w:rsidTr="00130FD4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30FD4" w:rsidRDefault="00130FD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30FD4" w:rsidRPr="003C2761" w:rsidRDefault="00130FD4" w:rsidP="00130FD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30FD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30FD4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B772B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2020-05-07T13:31:00Z</dcterms:modified>
</cp:coreProperties>
</file>