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CF6A43">
        <w:t>21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CF6A43">
        <w:rPr>
          <w:bCs/>
        </w:rPr>
        <w:t>26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2219BC">
        <w:rPr>
          <w:bCs/>
        </w:rPr>
        <w:t>июн</w:t>
      </w:r>
      <w:r w:rsidR="002D14C9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483F1E" w:rsidRPr="00483F1E" w:rsidRDefault="00144D7E" w:rsidP="00483F1E">
      <w:pPr>
        <w:autoSpaceDE w:val="0"/>
        <w:autoSpaceDN w:val="0"/>
        <w:adjustRightInd w:val="0"/>
        <w:jc w:val="both"/>
      </w:pPr>
      <w:r w:rsidRPr="00483F1E">
        <w:t xml:space="preserve">проведения открытого аукциона </w:t>
      </w:r>
      <w:r w:rsidR="00483F1E" w:rsidRPr="00483F1E">
        <w:rPr>
          <w:bCs/>
        </w:rPr>
        <w:t xml:space="preserve">по продаже имущества, составляющего </w:t>
      </w:r>
      <w:r w:rsidR="00483F1E" w:rsidRPr="00483F1E">
        <w:t>Закрытый паевой инвестиционный фонд недвижимости «Недвижимость для бизнеса»,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144D7E" w:rsidRPr="002325E1" w:rsidRDefault="00144D7E" w:rsidP="00ED280F">
      <w:pPr>
        <w:pStyle w:val="2"/>
      </w:pP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483F1E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57DAB">
        <w:rPr>
          <w:sz w:val="22"/>
          <w:szCs w:val="22"/>
        </w:rPr>
        <w:t xml:space="preserve">Настоящий Регламент проведения открытого аукциона по продаже </w:t>
      </w:r>
      <w:r w:rsidR="009434E0" w:rsidRPr="00657DAB">
        <w:rPr>
          <w:sz w:val="22"/>
          <w:szCs w:val="22"/>
        </w:rPr>
        <w:t>имущества</w:t>
      </w:r>
      <w:r w:rsidR="00B3038A" w:rsidRPr="00657DAB">
        <w:rPr>
          <w:sz w:val="22"/>
          <w:szCs w:val="22"/>
        </w:rPr>
        <w:t xml:space="preserve"> </w:t>
      </w:r>
      <w:r w:rsidRPr="00657DAB">
        <w:rPr>
          <w:sz w:val="22"/>
          <w:szCs w:val="22"/>
        </w:rPr>
        <w:t xml:space="preserve">(далее - Регламент) </w:t>
      </w:r>
      <w:r w:rsidRPr="00483F1E">
        <w:rPr>
          <w:sz w:val="22"/>
          <w:szCs w:val="22"/>
        </w:rPr>
        <w:t>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483F1E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83F1E">
        <w:rPr>
          <w:sz w:val="22"/>
          <w:szCs w:val="22"/>
        </w:rPr>
        <w:t xml:space="preserve">Предметом аукционной продажи является </w:t>
      </w:r>
      <w:r w:rsidR="00ED280F" w:rsidRPr="00483F1E">
        <w:rPr>
          <w:sz w:val="22"/>
          <w:szCs w:val="22"/>
        </w:rPr>
        <w:t xml:space="preserve">следующее </w:t>
      </w:r>
      <w:r w:rsidR="009434E0" w:rsidRPr="00483F1E">
        <w:rPr>
          <w:sz w:val="22"/>
          <w:szCs w:val="22"/>
        </w:rPr>
        <w:t>имущество</w:t>
      </w:r>
      <w:r w:rsidR="001372B1" w:rsidRPr="00483F1E">
        <w:rPr>
          <w:sz w:val="22"/>
          <w:szCs w:val="22"/>
        </w:rPr>
        <w:t>:</w:t>
      </w:r>
    </w:p>
    <w:p w:rsidR="00144D7E" w:rsidRPr="00483F1E" w:rsidRDefault="002325E1" w:rsidP="00483F1E">
      <w:pPr>
        <w:pStyle w:val="af"/>
        <w:spacing w:line="240" w:lineRule="auto"/>
        <w:ind w:left="0"/>
        <w:jc w:val="both"/>
        <w:rPr>
          <w:rFonts w:ascii="Times New Roman" w:hAnsi="Times New Roman"/>
        </w:rPr>
      </w:pPr>
      <w:r w:rsidRPr="00483F1E">
        <w:rPr>
          <w:rFonts w:ascii="Times New Roman" w:hAnsi="Times New Roman"/>
        </w:rPr>
        <w:t xml:space="preserve">•  </w:t>
      </w:r>
      <w:r w:rsidR="00483F1E" w:rsidRPr="00483F1E">
        <w:rPr>
          <w:rFonts w:ascii="Times New Roman" w:hAnsi="Times New Roman"/>
        </w:rPr>
        <w:t>Права требования к АКБ «Московский залоговый банк» (ЗАО)  по Договору банковского счета              № 40701-27 от 08 декабря 2006 года на сумму 486 721 (четыреста восемьдесят шесть тысяч семьсот двадцать один) рубль 02 копейки (далее – Лот 1).</w:t>
      </w: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B3433C">
        <w:t>устанавливает шаг повышения   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 подписание итогового протокола;</w:t>
      </w: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нотариально заверенную копию Свидетельства ЕГРЮЛ/ЕГРИП</w:t>
      </w:r>
      <w:r w:rsidR="00CC7FE9">
        <w:t xml:space="preserve"> (для юридических </w:t>
      </w:r>
      <w:r w:rsidR="00CC7FE9">
        <w:lastRenderedPageBreak/>
        <w:t>лиц и ИП)</w:t>
      </w:r>
      <w:r>
        <w:t xml:space="preserve">,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доверенность на право подписи Договоров</w:t>
      </w:r>
      <w:r w:rsidR="00CC7FE9">
        <w:t xml:space="preserve"> (при необходимости)</w:t>
      </w:r>
      <w:r>
        <w:t xml:space="preserve">,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582426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582426">
        <w:rPr>
          <w:rFonts w:ascii="Times New Roman" w:hAnsi="Times New Roman"/>
          <w:sz w:val="24"/>
          <w:szCs w:val="24"/>
        </w:rPr>
        <w:t xml:space="preserve">Прием документов для участия в аукционе производится </w:t>
      </w:r>
      <w:r w:rsidR="000079A6" w:rsidRPr="00582426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582426" w:rsidRPr="00582426">
        <w:rPr>
          <w:rFonts w:ascii="Times New Roman" w:hAnsi="Times New Roman"/>
          <w:sz w:val="24"/>
          <w:szCs w:val="24"/>
        </w:rPr>
        <w:t xml:space="preserve">с </w:t>
      </w:r>
      <w:r w:rsidR="00CF6A43">
        <w:rPr>
          <w:rFonts w:ascii="Times New Roman" w:hAnsi="Times New Roman"/>
          <w:sz w:val="24"/>
          <w:szCs w:val="24"/>
        </w:rPr>
        <w:t>27</w:t>
      </w:r>
      <w:r w:rsidR="00582426" w:rsidRPr="00582426">
        <w:rPr>
          <w:rFonts w:ascii="Times New Roman" w:hAnsi="Times New Roman"/>
          <w:sz w:val="24"/>
          <w:szCs w:val="24"/>
        </w:rPr>
        <w:t xml:space="preserve"> </w:t>
      </w:r>
      <w:r w:rsidR="002219BC">
        <w:rPr>
          <w:rFonts w:ascii="Times New Roman" w:hAnsi="Times New Roman"/>
          <w:sz w:val="24"/>
          <w:szCs w:val="24"/>
        </w:rPr>
        <w:t>июн</w:t>
      </w:r>
      <w:r w:rsidR="00CF5374">
        <w:rPr>
          <w:rFonts w:ascii="Times New Roman" w:hAnsi="Times New Roman"/>
          <w:sz w:val="24"/>
          <w:szCs w:val="24"/>
        </w:rPr>
        <w:t>я</w:t>
      </w:r>
      <w:r w:rsidR="00582426" w:rsidRPr="00582426">
        <w:rPr>
          <w:rFonts w:ascii="Times New Roman" w:hAnsi="Times New Roman"/>
          <w:sz w:val="24"/>
          <w:szCs w:val="24"/>
        </w:rPr>
        <w:t xml:space="preserve"> 201</w:t>
      </w:r>
      <w:r w:rsidR="00CC7FE9">
        <w:rPr>
          <w:rFonts w:ascii="Times New Roman" w:hAnsi="Times New Roman"/>
          <w:sz w:val="24"/>
          <w:szCs w:val="24"/>
        </w:rPr>
        <w:t>7</w:t>
      </w:r>
      <w:r w:rsidR="00582426" w:rsidRPr="00582426">
        <w:rPr>
          <w:rFonts w:ascii="Times New Roman" w:hAnsi="Times New Roman"/>
          <w:sz w:val="24"/>
          <w:szCs w:val="24"/>
        </w:rPr>
        <w:t xml:space="preserve"> г. по </w:t>
      </w:r>
      <w:r w:rsidR="00CF6A43">
        <w:rPr>
          <w:rFonts w:ascii="Times New Roman" w:hAnsi="Times New Roman"/>
          <w:sz w:val="24"/>
          <w:szCs w:val="24"/>
        </w:rPr>
        <w:t>13</w:t>
      </w:r>
      <w:r w:rsidR="00582426" w:rsidRPr="00582426">
        <w:rPr>
          <w:rFonts w:ascii="Times New Roman" w:hAnsi="Times New Roman"/>
          <w:sz w:val="24"/>
          <w:szCs w:val="24"/>
        </w:rPr>
        <w:t xml:space="preserve"> </w:t>
      </w:r>
      <w:r w:rsidR="002219BC">
        <w:rPr>
          <w:rFonts w:ascii="Times New Roman" w:hAnsi="Times New Roman"/>
          <w:sz w:val="24"/>
          <w:szCs w:val="24"/>
        </w:rPr>
        <w:t>ию</w:t>
      </w:r>
      <w:r w:rsidR="00CF6A43">
        <w:rPr>
          <w:rFonts w:ascii="Times New Roman" w:hAnsi="Times New Roman"/>
          <w:sz w:val="24"/>
          <w:szCs w:val="24"/>
        </w:rPr>
        <w:t>л</w:t>
      </w:r>
      <w:r w:rsidR="00657DAB">
        <w:rPr>
          <w:rFonts w:ascii="Times New Roman" w:hAnsi="Times New Roman"/>
          <w:sz w:val="24"/>
          <w:szCs w:val="24"/>
        </w:rPr>
        <w:t>я</w:t>
      </w:r>
      <w:r w:rsidR="00582426" w:rsidRPr="00582426">
        <w:rPr>
          <w:rFonts w:ascii="Times New Roman" w:hAnsi="Times New Roman"/>
          <w:sz w:val="24"/>
          <w:szCs w:val="24"/>
        </w:rPr>
        <w:t xml:space="preserve"> 201</w:t>
      </w:r>
      <w:r w:rsidR="00CC7FE9">
        <w:rPr>
          <w:rFonts w:ascii="Times New Roman" w:hAnsi="Times New Roman"/>
          <w:sz w:val="24"/>
          <w:szCs w:val="24"/>
        </w:rPr>
        <w:t>7</w:t>
      </w:r>
      <w:r w:rsidR="00582426" w:rsidRPr="00582426">
        <w:rPr>
          <w:rFonts w:ascii="Times New Roman" w:hAnsi="Times New Roman"/>
          <w:sz w:val="24"/>
          <w:szCs w:val="24"/>
        </w:rPr>
        <w:t xml:space="preserve"> г. </w:t>
      </w:r>
      <w:r w:rsidR="000079A6" w:rsidRPr="00582426">
        <w:rPr>
          <w:rFonts w:ascii="Times New Roman" w:hAnsi="Times New Roman"/>
          <w:sz w:val="24"/>
          <w:szCs w:val="24"/>
        </w:rPr>
        <w:t>включительно по адресу:                 125167 г. Москва, ул. Восьмого марта 4-я, дом 6а, 10 этаж, офис ЗАО «ПРСД», тел.                     +7 (495) 223-66-07</w:t>
      </w:r>
      <w:r w:rsidRPr="0058242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 xml:space="preserve">перечень продаваемых на аукционе лотов; </w:t>
      </w:r>
    </w:p>
    <w:p w:rsidR="00144D7E" w:rsidRPr="0058242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82426">
        <w:t>Физические и юридические лица, не перечислившие до «</w:t>
      </w:r>
      <w:r w:rsidR="00CF6A43">
        <w:t>13</w:t>
      </w:r>
      <w:r w:rsidRPr="00582426">
        <w:t>»</w:t>
      </w:r>
      <w:r w:rsidR="00A47213" w:rsidRPr="00582426">
        <w:t xml:space="preserve"> </w:t>
      </w:r>
      <w:r w:rsidR="002219BC">
        <w:t>ию</w:t>
      </w:r>
      <w:r w:rsidR="00CF6A43">
        <w:t>л</w:t>
      </w:r>
      <w:r w:rsidR="00657DAB">
        <w:t>я</w:t>
      </w:r>
      <w:r w:rsidR="003625EC" w:rsidRPr="00582426">
        <w:t xml:space="preserve"> </w:t>
      </w:r>
      <w:r w:rsidRPr="00582426">
        <w:t>20</w:t>
      </w:r>
      <w:r w:rsidR="005104BE" w:rsidRPr="00582426">
        <w:t>1</w:t>
      </w:r>
      <w:r w:rsidR="00CC7FE9">
        <w:t>7</w:t>
      </w:r>
      <w:r w:rsidRPr="00582426">
        <w:t xml:space="preserve"> г.</w:t>
      </w:r>
      <w:r w:rsidR="002325E1" w:rsidRPr="00582426">
        <w:t xml:space="preserve"> включительно</w:t>
      </w:r>
      <w:r w:rsidRPr="00582426">
        <w:t xml:space="preserve"> сумму задатка к участию в аукционе не допускаются.</w:t>
      </w:r>
    </w:p>
    <w:p w:rsidR="00144D7E" w:rsidRPr="00A47213" w:rsidRDefault="00ED280F" w:rsidP="007F463E">
      <w:pPr>
        <w:widowControl w:val="0"/>
        <w:autoSpaceDE w:val="0"/>
        <w:autoSpaceDN w:val="0"/>
        <w:adjustRightInd w:val="0"/>
        <w:jc w:val="both"/>
      </w:pPr>
      <w:r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>
        <w:t xml:space="preserve">. Реквизиты счета сообщаются дополнительно. </w:t>
      </w:r>
      <w:bookmarkEnd w:id="0"/>
      <w:bookmarkEnd w:id="1"/>
      <w:r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A47213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A47213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</w:rPr>
      </w:pPr>
      <w:r w:rsidRPr="00A47213">
        <w:rPr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>К участию в аукционе допускается</w:t>
      </w:r>
      <w:r>
        <w:t xml:space="preserve"> не более двух представителей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>гистрации представитель участника должен предоставить следующие документы: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144D7E" w:rsidRPr="00657DAB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C7FE9">
        <w:t xml:space="preserve">Аукцион проводится </w:t>
      </w:r>
      <w:r w:rsidR="00144D7E" w:rsidRPr="00CC7FE9">
        <w:t>«</w:t>
      </w:r>
      <w:r w:rsidR="00CF6A43">
        <w:t>14</w:t>
      </w:r>
      <w:r w:rsidR="00144D7E" w:rsidRPr="00CC7FE9">
        <w:t>»</w:t>
      </w:r>
      <w:r w:rsidR="007F463E" w:rsidRPr="00CC7FE9">
        <w:t xml:space="preserve"> </w:t>
      </w:r>
      <w:r w:rsidR="002219BC">
        <w:t>ию</w:t>
      </w:r>
      <w:r w:rsidR="00CF6A43">
        <w:t>л</w:t>
      </w:r>
      <w:r w:rsidR="00657DAB">
        <w:t>я</w:t>
      </w:r>
      <w:r w:rsidR="007F463E" w:rsidRPr="00CC7FE9">
        <w:t xml:space="preserve"> </w:t>
      </w:r>
      <w:r w:rsidR="00144D7E" w:rsidRPr="00CC7FE9">
        <w:t>20</w:t>
      </w:r>
      <w:r w:rsidR="007F463E" w:rsidRPr="00CC7FE9">
        <w:t>1</w:t>
      </w:r>
      <w:r w:rsidR="00CC7FE9" w:rsidRPr="00CC7FE9">
        <w:t>7</w:t>
      </w:r>
      <w:r w:rsidR="00144D7E" w:rsidRPr="00CC7FE9">
        <w:t xml:space="preserve"> г.</w:t>
      </w:r>
      <w:r w:rsidR="00ED280F" w:rsidRPr="00CC7FE9">
        <w:t xml:space="preserve"> </w:t>
      </w:r>
      <w:r w:rsidR="00144D7E" w:rsidRPr="00CC7FE9">
        <w:t>в</w:t>
      </w:r>
      <w:r w:rsidR="007F463E" w:rsidRPr="00CC7FE9">
        <w:t xml:space="preserve"> 1</w:t>
      </w:r>
      <w:r w:rsidR="00CF6A43">
        <w:t>6</w:t>
      </w:r>
      <w:r w:rsidR="004E0685" w:rsidRPr="00CC7FE9">
        <w:t xml:space="preserve"> </w:t>
      </w:r>
      <w:r w:rsidR="00144D7E" w:rsidRPr="00CC7FE9">
        <w:t xml:space="preserve">ч. </w:t>
      </w:r>
      <w:r w:rsidR="00FF627B" w:rsidRPr="00CC7FE9">
        <w:t>0</w:t>
      </w:r>
      <w:r w:rsidR="007F463E" w:rsidRPr="00CC7FE9">
        <w:t xml:space="preserve">0 </w:t>
      </w:r>
      <w:r w:rsidR="00144D7E" w:rsidRPr="00CC7FE9">
        <w:t xml:space="preserve">мин.  в офисе </w:t>
      </w:r>
      <w:r w:rsidRPr="00CC7FE9">
        <w:t>ЗАО «ПРСД»</w:t>
      </w:r>
      <w:r w:rsidR="00144D7E" w:rsidRPr="00CC7FE9">
        <w:t xml:space="preserve"> по адресу</w:t>
      </w:r>
      <w:r w:rsidR="00144D7E" w:rsidRPr="00657DAB">
        <w:t xml:space="preserve">: </w:t>
      </w:r>
      <w:r w:rsidRPr="00657DAB">
        <w:t xml:space="preserve">125167, </w:t>
      </w:r>
      <w:r w:rsidR="00144D7E" w:rsidRPr="00657DAB">
        <w:t xml:space="preserve"> </w:t>
      </w:r>
      <w:r w:rsidR="00144D7E" w:rsidRPr="00657DAB">
        <w:rPr>
          <w:color w:val="000000"/>
        </w:rPr>
        <w:t xml:space="preserve">г. Москва, ул. </w:t>
      </w:r>
      <w:r w:rsidR="00A47213" w:rsidRPr="00657DAB">
        <w:rPr>
          <w:color w:val="000000"/>
        </w:rPr>
        <w:t>Восьмого марта 4-я</w:t>
      </w:r>
      <w:r w:rsidR="00144D7E" w:rsidRPr="00657DAB">
        <w:rPr>
          <w:color w:val="000000"/>
        </w:rPr>
        <w:t>, д.</w:t>
      </w:r>
      <w:r w:rsidR="009434E0" w:rsidRPr="00657DAB">
        <w:rPr>
          <w:color w:val="000000"/>
        </w:rPr>
        <w:t xml:space="preserve"> </w:t>
      </w:r>
      <w:r w:rsidR="00A47213" w:rsidRPr="00657DAB">
        <w:rPr>
          <w:color w:val="000000"/>
        </w:rPr>
        <w:t>6а</w:t>
      </w:r>
      <w:r w:rsidR="00144D7E" w:rsidRPr="00657DAB">
        <w:rPr>
          <w:color w:val="000000"/>
        </w:rPr>
        <w:t xml:space="preserve">. </w:t>
      </w:r>
      <w:r w:rsidR="00144D7E" w:rsidRPr="00657DAB">
        <w:t>Торги на аукционе проводятся только в присутствии Аукционной комиссии.</w:t>
      </w:r>
    </w:p>
    <w:p w:rsidR="00EE6A48" w:rsidRPr="00657DAB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DAB">
        <w:rPr>
          <w:rFonts w:ascii="Times New Roman" w:hAnsi="Times New Roman"/>
          <w:sz w:val="24"/>
          <w:szCs w:val="24"/>
        </w:rPr>
        <w:lastRenderedPageBreak/>
        <w:t>Порядок проведения аукциона.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657DAB">
        <w:rPr>
          <w:color w:val="000000"/>
        </w:rPr>
        <w:t>а</w:t>
      </w:r>
      <w:r w:rsidRPr="00657DAB">
        <w:rPr>
          <w:color w:val="000000"/>
        </w:rPr>
        <w:t>вила ведения аукциона.</w:t>
      </w:r>
      <w:r w:rsidRPr="00657DAB">
        <w:t xml:space="preserve">  </w:t>
      </w:r>
      <w:r w:rsidRPr="00657DAB">
        <w:rPr>
          <w:color w:val="000000"/>
        </w:rPr>
        <w:t xml:space="preserve">Шаг аукциона на повышение, устанавливается Организатором торгов в фиксированной сумме и не изменяются в течение всего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После оглашения Аукционистом начальной цены продажи Участникам аукциона предлаг</w:t>
      </w:r>
      <w:r w:rsidRPr="00657DAB">
        <w:rPr>
          <w:color w:val="000000"/>
        </w:rPr>
        <w:t>а</w:t>
      </w:r>
      <w:r w:rsidRPr="00657DAB">
        <w:rPr>
          <w:color w:val="000000"/>
        </w:rPr>
        <w:t>ется заявить эту цену путем поднятия карточки</w:t>
      </w:r>
      <w:r w:rsidRPr="00657DAB">
        <w:t xml:space="preserve">-идентификатора (далее – карточка).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Далее цена продажи повышается на шаг аукциона Участниками аукциона п</w:t>
      </w:r>
      <w:r w:rsidRPr="00657DAB">
        <w:rPr>
          <w:color w:val="000000"/>
        </w:rPr>
        <w:t>у</w:t>
      </w:r>
      <w:r w:rsidRPr="00657DAB">
        <w:rPr>
          <w:color w:val="000000"/>
        </w:rPr>
        <w:t>тем поднятия карточки. Аукцион продолжается до тех пор, пока будут заявляться предложения по ц</w:t>
      </w:r>
      <w:r w:rsidRPr="00657DAB">
        <w:rPr>
          <w:color w:val="000000"/>
        </w:rPr>
        <w:t>е</w:t>
      </w:r>
      <w:r w:rsidRPr="00657DAB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В случае, если после объявления начальной цены ни один из Участников аукциона не подн</w:t>
      </w:r>
      <w:r w:rsidRPr="00657DAB">
        <w:rPr>
          <w:color w:val="000000"/>
        </w:rPr>
        <w:t>и</w:t>
      </w:r>
      <w:r w:rsidRPr="00657DAB">
        <w:rPr>
          <w:color w:val="000000"/>
        </w:rPr>
        <w:t>мет карточку, Аукцион признается несостоявшимся.</w:t>
      </w:r>
    </w:p>
    <w:p w:rsidR="00CC7FE9" w:rsidRPr="00657DAB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9. В ___ часов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B1F" w:rsidRDefault="009F1B1F" w:rsidP="006A4405">
      <w:r>
        <w:separator/>
      </w:r>
    </w:p>
  </w:endnote>
  <w:endnote w:type="continuationSeparator" w:id="0">
    <w:p w:rsidR="009F1B1F" w:rsidRDefault="009F1B1F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AD6F71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B1F" w:rsidRDefault="009F1B1F" w:rsidP="006A4405">
      <w:r>
        <w:separator/>
      </w:r>
    </w:p>
  </w:footnote>
  <w:footnote w:type="continuationSeparator" w:id="0">
    <w:p w:rsidR="009F1B1F" w:rsidRDefault="009F1B1F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3CE0"/>
    <w:rsid w:val="000373A6"/>
    <w:rsid w:val="00052110"/>
    <w:rsid w:val="00057006"/>
    <w:rsid w:val="000751B9"/>
    <w:rsid w:val="00080082"/>
    <w:rsid w:val="00091C20"/>
    <w:rsid w:val="000B2DA0"/>
    <w:rsid w:val="000B3AEA"/>
    <w:rsid w:val="000C00E2"/>
    <w:rsid w:val="000D154A"/>
    <w:rsid w:val="000D2B85"/>
    <w:rsid w:val="000E7A1E"/>
    <w:rsid w:val="00115E81"/>
    <w:rsid w:val="00130CF3"/>
    <w:rsid w:val="001372B1"/>
    <w:rsid w:val="001442D3"/>
    <w:rsid w:val="00144D7E"/>
    <w:rsid w:val="00145428"/>
    <w:rsid w:val="00150F6B"/>
    <w:rsid w:val="00153618"/>
    <w:rsid w:val="00162546"/>
    <w:rsid w:val="001B44C8"/>
    <w:rsid w:val="001C153C"/>
    <w:rsid w:val="0021075E"/>
    <w:rsid w:val="002219BC"/>
    <w:rsid w:val="002325E1"/>
    <w:rsid w:val="0024102F"/>
    <w:rsid w:val="00266669"/>
    <w:rsid w:val="00272229"/>
    <w:rsid w:val="002C31DC"/>
    <w:rsid w:val="002C6388"/>
    <w:rsid w:val="002D14C9"/>
    <w:rsid w:val="002D56DA"/>
    <w:rsid w:val="002E327B"/>
    <w:rsid w:val="00360C87"/>
    <w:rsid w:val="003615FB"/>
    <w:rsid w:val="0036223C"/>
    <w:rsid w:val="003625EC"/>
    <w:rsid w:val="003778F1"/>
    <w:rsid w:val="00385307"/>
    <w:rsid w:val="0038626B"/>
    <w:rsid w:val="003A2F59"/>
    <w:rsid w:val="003B61E5"/>
    <w:rsid w:val="003C3E22"/>
    <w:rsid w:val="003D1C30"/>
    <w:rsid w:val="003D2F97"/>
    <w:rsid w:val="003D6B74"/>
    <w:rsid w:val="003F2B96"/>
    <w:rsid w:val="0041023E"/>
    <w:rsid w:val="0043423B"/>
    <w:rsid w:val="004457EB"/>
    <w:rsid w:val="00477EC2"/>
    <w:rsid w:val="004803C5"/>
    <w:rsid w:val="00483F1E"/>
    <w:rsid w:val="004B0337"/>
    <w:rsid w:val="004E0685"/>
    <w:rsid w:val="004E0E7B"/>
    <w:rsid w:val="004E4E55"/>
    <w:rsid w:val="004F59F4"/>
    <w:rsid w:val="0050459F"/>
    <w:rsid w:val="005104BE"/>
    <w:rsid w:val="0052396D"/>
    <w:rsid w:val="00564271"/>
    <w:rsid w:val="00564B1B"/>
    <w:rsid w:val="00582426"/>
    <w:rsid w:val="005A5555"/>
    <w:rsid w:val="005D0CEC"/>
    <w:rsid w:val="006139E3"/>
    <w:rsid w:val="00647D9D"/>
    <w:rsid w:val="006515BD"/>
    <w:rsid w:val="0065257F"/>
    <w:rsid w:val="00657DAB"/>
    <w:rsid w:val="006620C8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C75BE"/>
    <w:rsid w:val="007E4699"/>
    <w:rsid w:val="007F463E"/>
    <w:rsid w:val="0082724D"/>
    <w:rsid w:val="00841069"/>
    <w:rsid w:val="008508F7"/>
    <w:rsid w:val="0089274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9F1B1F"/>
    <w:rsid w:val="00A120AD"/>
    <w:rsid w:val="00A27464"/>
    <w:rsid w:val="00A30EA0"/>
    <w:rsid w:val="00A47213"/>
    <w:rsid w:val="00A54D33"/>
    <w:rsid w:val="00A85096"/>
    <w:rsid w:val="00A8777B"/>
    <w:rsid w:val="00A93421"/>
    <w:rsid w:val="00AA1A83"/>
    <w:rsid w:val="00AD34DC"/>
    <w:rsid w:val="00AD6F71"/>
    <w:rsid w:val="00B05045"/>
    <w:rsid w:val="00B057F8"/>
    <w:rsid w:val="00B3038A"/>
    <w:rsid w:val="00B3433C"/>
    <w:rsid w:val="00B40D2C"/>
    <w:rsid w:val="00B425DB"/>
    <w:rsid w:val="00B42C4B"/>
    <w:rsid w:val="00B56015"/>
    <w:rsid w:val="00B70D80"/>
    <w:rsid w:val="00BD0A27"/>
    <w:rsid w:val="00C000BD"/>
    <w:rsid w:val="00C1394F"/>
    <w:rsid w:val="00C32707"/>
    <w:rsid w:val="00C44D67"/>
    <w:rsid w:val="00C47B42"/>
    <w:rsid w:val="00C55083"/>
    <w:rsid w:val="00C552A1"/>
    <w:rsid w:val="00C66BD1"/>
    <w:rsid w:val="00C77188"/>
    <w:rsid w:val="00C836F2"/>
    <w:rsid w:val="00CA0605"/>
    <w:rsid w:val="00CC7FE9"/>
    <w:rsid w:val="00CF5374"/>
    <w:rsid w:val="00CF6A43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F1673"/>
    <w:rsid w:val="00E0385A"/>
    <w:rsid w:val="00E11D7F"/>
    <w:rsid w:val="00E4410F"/>
    <w:rsid w:val="00E46B6D"/>
    <w:rsid w:val="00E53461"/>
    <w:rsid w:val="00E96AE1"/>
    <w:rsid w:val="00EC05C4"/>
    <w:rsid w:val="00ED280F"/>
    <w:rsid w:val="00ED452E"/>
    <w:rsid w:val="00EE3C1B"/>
    <w:rsid w:val="00EE6A48"/>
    <w:rsid w:val="00EE6CAA"/>
    <w:rsid w:val="00EE705D"/>
    <w:rsid w:val="00F60D67"/>
    <w:rsid w:val="00F64512"/>
    <w:rsid w:val="00F83ACE"/>
    <w:rsid w:val="00F87F7F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8190D-3CA2-4716-84DF-FAA74F0E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voronovskaya.v</cp:lastModifiedBy>
  <cp:revision>2</cp:revision>
  <cp:lastPrinted>2014-05-27T13:54:00Z</cp:lastPrinted>
  <dcterms:created xsi:type="dcterms:W3CDTF">2017-06-26T13:24:00Z</dcterms:created>
  <dcterms:modified xsi:type="dcterms:W3CDTF">2017-06-26T13:24:00Z</dcterms:modified>
</cp:coreProperties>
</file>